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EC3891" w:rsidRPr="00B05563" w:rsidTr="008B3D6F">
        <w:trPr>
          <w:trHeight w:val="1411"/>
        </w:trPr>
        <w:tc>
          <w:tcPr>
            <w:tcW w:w="2235" w:type="dxa"/>
            <w:tcBorders>
              <w:top w:val="nil"/>
              <w:left w:val="nil"/>
              <w:bottom w:val="single" w:sz="12" w:space="0" w:color="auto"/>
              <w:right w:val="nil"/>
            </w:tcBorders>
            <w:vAlign w:val="center"/>
          </w:tcPr>
          <w:p w:rsidR="00EC3891" w:rsidRPr="00B05563" w:rsidRDefault="00EC3891" w:rsidP="008B3D6F">
            <w:pPr>
              <w:pStyle w:val="Default"/>
              <w:jc w:val="center"/>
              <w:rPr>
                <w:sz w:val="22"/>
                <w:szCs w:val="22"/>
              </w:rPr>
            </w:pPr>
            <w:r w:rsidRPr="00B05563">
              <w:rPr>
                <w:noProof/>
                <w:sz w:val="22"/>
                <w:szCs w:val="22"/>
                <w:lang w:val="en-US"/>
              </w:rPr>
              <w:drawing>
                <wp:inline distT="0" distB="0" distL="0" distR="0" wp14:anchorId="4D1DCEFF" wp14:editId="0B9AEBB9">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EC3891" w:rsidRPr="001523FF" w:rsidRDefault="00EC3891" w:rsidP="008B3D6F">
            <w:pPr>
              <w:pStyle w:val="Default"/>
              <w:jc w:val="center"/>
              <w:rPr>
                <w:b/>
                <w:sz w:val="28"/>
                <w:szCs w:val="22"/>
              </w:rPr>
            </w:pPr>
            <w:r w:rsidRPr="001523FF">
              <w:rPr>
                <w:b/>
                <w:sz w:val="28"/>
                <w:szCs w:val="22"/>
              </w:rPr>
              <w:t xml:space="preserve">ITC Data Sharing Agreement with </w:t>
            </w:r>
            <w:r>
              <w:rPr>
                <w:b/>
                <w:sz w:val="28"/>
                <w:szCs w:val="22"/>
              </w:rPr>
              <w:t>M</w:t>
            </w:r>
            <w:bookmarkStart w:id="0" w:name="_GoBack"/>
            <w:bookmarkEnd w:id="0"/>
            <w:r>
              <w:rPr>
                <w:b/>
                <w:sz w:val="28"/>
                <w:szCs w:val="22"/>
              </w:rPr>
              <w:t>exico</w:t>
            </w:r>
            <w:r w:rsidR="00F0657F">
              <w:rPr>
                <w:b/>
                <w:sz w:val="28"/>
                <w:szCs w:val="22"/>
              </w:rPr>
              <w:t xml:space="preserve"> (MX)</w:t>
            </w:r>
          </w:p>
        </w:tc>
      </w:tr>
    </w:tbl>
    <w:p w:rsidR="00EC3891" w:rsidRPr="00B05563" w:rsidRDefault="00EC3891" w:rsidP="00EC3891">
      <w:pPr>
        <w:autoSpaceDE w:val="0"/>
        <w:autoSpaceDN w:val="0"/>
        <w:adjustRightInd w:val="0"/>
        <w:spacing w:after="0" w:line="240" w:lineRule="auto"/>
        <w:rPr>
          <w:rFonts w:ascii="Arial" w:hAnsi="Arial" w:cs="Arial"/>
          <w:iCs/>
          <w:color w:val="000000"/>
        </w:rPr>
      </w:pPr>
    </w:p>
    <w:p w:rsidR="00EC3891" w:rsidRDefault="00EC3891" w:rsidP="00EC3891">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EC3891" w:rsidRDefault="00EC3891" w:rsidP="00EC3891">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w:t>
      </w:r>
      <w:r>
        <w:rPr>
          <w:rFonts w:ascii="Arial" w:hAnsi="Arial" w:cs="Arial"/>
          <w:iCs/>
          <w:color w:val="000000"/>
        </w:rPr>
        <w:t>y questions, please contact the</w:t>
      </w:r>
      <w:r w:rsidRPr="003406CF">
        <w:rPr>
          <w:rFonts w:ascii="Arial" w:hAnsi="Arial" w:cs="Arial"/>
          <w:iCs/>
          <w:color w:val="000000"/>
        </w:rPr>
        <w:t xml:space="preserve"> relevant project manager</w:t>
      </w:r>
      <w:r>
        <w:rPr>
          <w:rFonts w:ascii="Arial" w:hAnsi="Arial" w:cs="Arial"/>
          <w:iCs/>
          <w:color w:val="000000"/>
        </w:rPr>
        <w:t>.</w:t>
      </w:r>
    </w:p>
    <w:p w:rsidR="00906414" w:rsidRDefault="00906414" w:rsidP="00EC3891">
      <w:pPr>
        <w:autoSpaceDE w:val="0"/>
        <w:autoSpaceDN w:val="0"/>
        <w:adjustRightInd w:val="0"/>
        <w:spacing w:after="0" w:line="240" w:lineRule="auto"/>
        <w:rPr>
          <w:rFonts w:ascii="Arial" w:hAnsi="Arial" w:cs="Arial"/>
          <w:iCs/>
          <w:color w:val="000000"/>
        </w:rPr>
      </w:pPr>
    </w:p>
    <w:p w:rsidR="00906414" w:rsidRPr="003406CF" w:rsidRDefault="00906414" w:rsidP="00EC3891">
      <w:pPr>
        <w:autoSpaceDE w:val="0"/>
        <w:autoSpaceDN w:val="0"/>
        <w:adjustRightInd w:val="0"/>
        <w:spacing w:after="0" w:line="240" w:lineRule="auto"/>
        <w:rPr>
          <w:rFonts w:ascii="Arial" w:hAnsi="Arial" w:cs="Arial"/>
          <w:iCs/>
          <w:color w:val="000000"/>
        </w:rPr>
      </w:pPr>
      <w:r>
        <w:rPr>
          <w:rFonts w:ascii="Arial" w:hAnsi="Arial" w:cs="Arial"/>
          <w:iCs/>
          <w:color w:val="000000"/>
        </w:rPr>
        <w:t>For Waves 1 and 2, please refer to the Partnership Agreement for Waves 3-5.</w:t>
      </w:r>
    </w:p>
    <w:p w:rsidR="00887C7D" w:rsidRPr="00887C7D" w:rsidRDefault="00887C7D" w:rsidP="00887C7D">
      <w:pPr>
        <w:spacing w:after="0" w:line="276" w:lineRule="auto"/>
        <w:rPr>
          <w:rFonts w:ascii="Calibri" w:eastAsia="Calibri" w:hAnsi="Calibri" w:cs="Times New Roman"/>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r w:rsidRPr="00887C7D">
        <w:rPr>
          <w:rFonts w:ascii="Arial" w:eastAsia="Calibri" w:hAnsi="Arial" w:cs="Arial"/>
          <w:b/>
          <w:color w:val="000000"/>
          <w:u w:val="single"/>
          <w:lang w:val="en-CA"/>
        </w:rPr>
        <w:t>Waves 3-5 (February 23, 2009 to May 2011)</w:t>
      </w:r>
    </w:p>
    <w:p w:rsidR="00887C7D" w:rsidRPr="00887C7D" w:rsidRDefault="00887C7D" w:rsidP="00887C7D">
      <w:pPr>
        <w:autoSpaceDE w:val="0"/>
        <w:autoSpaceDN w:val="0"/>
        <w:adjustRightInd w:val="0"/>
        <w:spacing w:after="0" w:line="240" w:lineRule="auto"/>
        <w:rPr>
          <w:rFonts w:ascii="Arial" w:eastAsia="Calibri" w:hAnsi="Arial" w:cs="Arial"/>
          <w:b/>
          <w:color w:val="000000"/>
          <w:lang w:val="en-CA"/>
        </w:rPr>
      </w:pPr>
    </w:p>
    <w:tbl>
      <w:tblPr>
        <w:tblStyle w:val="TableGrid"/>
        <w:tblW w:w="0" w:type="auto"/>
        <w:tblLook w:val="04A0" w:firstRow="1" w:lastRow="0" w:firstColumn="1" w:lastColumn="0" w:noHBand="0" w:noVBand="1"/>
      </w:tblPr>
      <w:tblGrid>
        <w:gridCol w:w="4649"/>
        <w:gridCol w:w="4701"/>
      </w:tblGrid>
      <w:tr w:rsidR="00887C7D" w:rsidRPr="00887C7D" w:rsidTr="00887C7D">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E-mail</w:t>
            </w:r>
          </w:p>
        </w:tc>
      </w:tr>
      <w:tr w:rsidR="00887C7D" w:rsidRPr="00887C7D" w:rsidTr="00B21FE9">
        <w:trPr>
          <w:trHeight w:val="305"/>
        </w:trPr>
        <w:tc>
          <w:tcPr>
            <w:tcW w:w="4788" w:type="dxa"/>
            <w:vAlign w:val="center"/>
          </w:tcPr>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bCs/>
          <w:color w:val="000000"/>
          <w:lang w:val="en-CA"/>
        </w:rPr>
      </w:pPr>
      <w:r w:rsidRPr="00887C7D">
        <w:rPr>
          <w:rFonts w:ascii="Arial" w:eastAsia="Calibri" w:hAnsi="Arial" w:cs="Arial"/>
          <w:b/>
          <w:bCs/>
          <w:color w:val="000000"/>
          <w:lang w:val="en-CA"/>
        </w:rPr>
        <w:t xml:space="preserve">Terms and Conditions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Waves 3-5 of the ITC Mexico Survey are organized and administered by the Mexican National Institute of Public Health (INSP).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initial data entry will be carried out by the INSP Survey Research Unit. Specifications for entry of data from household enumeration forms and the interview forms will be provided by the ITC Project/Roswell Park TTURC Data Management Core (ITC DMC) at the University of Waterloo.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INSP agrees to provide the ITC Mexico Survey data file and accompanying documentation in accordance with ITC standards, as specified by the ITC DMC.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All ITC Project survey data are housed in the International Tobacco Control Data Repository (ITCDR) at the University of Waterloo.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INSP authorizes the International Tobacco Control Data Repository (ITCDR) to house the ITC Mexico Survey data, and manage access to the data by approved researchers according to the ITCDR data sharing protocol as described in the ITCDR Guidelines.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INSP grants to the ITCDR the non-exclusive right to reproduce, translate (as defined below), and/or distribute the ITC Mexico Survey data to other International Tobacco Control Investigators (ITC Investigators) in print, electronic format or in any requested medium. As indicated in Section 4 below, the Mexico team as designated by the INSP will be informed of any proposed analyses that involve the ITC Mexico Survey data. Members of the Mexico team will be invited to participate in these analyses and, when providing sufficient input, will be asked to co-author publications or reports that result from them.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lastRenderedPageBreak/>
        <w:t>In addition, once two years have elapsed from the date when cleaned data sets are issued by the ITC DMC, the INSP grants to the ITCDR the non-exclusive right to subsets of the data to other approved researchers, under the terms of the ITCDR Data Usage Agreement. The Mexico team will be notified in a timely manner of all proposals from such other researchers to use the ITC Mexico Survey data, and all approvals to use the ITC Mexico Survey data. In all matters regarding access ITCDR will clearly identify the INSP as the owner of the ITC Mexico Survey data, and will not make any alteration, other than as allowed by this agreement, to the data.</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Participants have been made aware of the potential usage of data collected in the survey recruitment scripts. The INSP and the ITCDR will abide by the provisions of the ethics proposal. Copies of the full proposal, including consent forms and scripts, are on file at Mexican INSP, UIC, and the ITCDR.</w:t>
      </w:r>
    </w:p>
    <w:p w:rsid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bCs/>
          <w:color w:val="000000"/>
          <w:lang w:val="en-CA"/>
        </w:rPr>
      </w:pPr>
      <w:r w:rsidRPr="00887C7D">
        <w:rPr>
          <w:rFonts w:ascii="Arial" w:eastAsia="Calibri" w:hAnsi="Arial" w:cs="Arial"/>
          <w:b/>
          <w:bCs/>
          <w:color w:val="000000"/>
          <w:lang w:val="en-CA"/>
        </w:rPr>
        <w:t xml:space="preserve">Communications and Collaborations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Members of the ITC Mexico research team will have the right to use the data to produce reports, presentations, articles for submission to professional journals, and other products that report on these data.</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ITC Investigator team will explore analyses that use the ITC Mexico Survey data in comparison with data from other countries, e.g. to analyze differences in the perception of advertising in Mexico vs. U.S., Canada, U.K., Australia and other ITC countries. In such analyses, it is the expectation that ITC Investigators and Mexico team members would be coauthors on resulting papers. Depending on the nature of the papers, the lead author could come from either group.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In all papers that the ITC Investigator team may lead, using the ITC Mexico survey data, the Mexico team members will be invited to be co-authors. It is the expectation that in any papers that the Mexico team may lead, ITC Investigators will have the opportunity to be co-authors.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Copies of all publications, reports, abstracts, etc. which use data from the ITC Mexico Survey will be submitted to The Roswell Park ITC Administration Core at the same time that they are submitted to conferences or journals, so that a complete record can be kept of the research findings for dissemination.</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Proposals for studies using the data should be reviewed by the ITC Project Data Management Core to reduce the possibility of unnecessary duplication of effort in the ITC Collaboration.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The official list of funding sources and the exact wording to be used to acknowledge funding support will be specified at a later time, and approved by the INSP and by relevant members of the ITC Project Team.</w:t>
      </w:r>
    </w:p>
    <w:p w:rsidR="00887C7D" w:rsidRDefault="00887C7D" w:rsidP="00887C7D">
      <w:pPr>
        <w:autoSpaceDE w:val="0"/>
        <w:autoSpaceDN w:val="0"/>
        <w:adjustRightInd w:val="0"/>
        <w:spacing w:after="0" w:line="240" w:lineRule="auto"/>
        <w:rPr>
          <w:rFonts w:ascii="Arial" w:eastAsia="Calibri" w:hAnsi="Arial" w:cs="Arial"/>
          <w:b/>
          <w:color w:val="000000"/>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r w:rsidRPr="00887C7D">
        <w:rPr>
          <w:rFonts w:ascii="Arial" w:eastAsia="Calibri" w:hAnsi="Arial" w:cs="Arial"/>
          <w:b/>
          <w:color w:val="000000"/>
          <w:u w:val="single"/>
          <w:lang w:val="en-CA"/>
        </w:rPr>
        <w:lastRenderedPageBreak/>
        <w:t>Wave 6 (July 9, 2012)</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tbl>
      <w:tblPr>
        <w:tblStyle w:val="TableGrid"/>
        <w:tblW w:w="0" w:type="auto"/>
        <w:tblLook w:val="04A0" w:firstRow="1" w:lastRow="0" w:firstColumn="1" w:lastColumn="0" w:noHBand="0" w:noVBand="1"/>
      </w:tblPr>
      <w:tblGrid>
        <w:gridCol w:w="4649"/>
        <w:gridCol w:w="4701"/>
      </w:tblGrid>
      <w:tr w:rsidR="00FB6A62" w:rsidRPr="00887C7D" w:rsidTr="00086845">
        <w:tc>
          <w:tcPr>
            <w:tcW w:w="4788" w:type="dxa"/>
            <w:shd w:val="clear" w:color="auto" w:fill="DBE5F1"/>
          </w:tcPr>
          <w:p w:rsidR="00FB6A62" w:rsidRPr="00887C7D" w:rsidRDefault="00FB6A62" w:rsidP="00086845">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rsidR="00FB6A62" w:rsidRPr="00887C7D" w:rsidRDefault="00FB6A62" w:rsidP="00086845">
            <w:pPr>
              <w:jc w:val="center"/>
              <w:rPr>
                <w:rFonts w:ascii="Arial" w:eastAsia="Calibri" w:hAnsi="Arial" w:cs="Arial"/>
                <w:b/>
                <w:color w:val="000000"/>
              </w:rPr>
            </w:pPr>
            <w:r w:rsidRPr="00887C7D">
              <w:rPr>
                <w:rFonts w:ascii="Arial" w:eastAsia="Calibri" w:hAnsi="Arial" w:cs="Arial"/>
                <w:b/>
                <w:color w:val="000000"/>
              </w:rPr>
              <w:t>E-mail</w:t>
            </w:r>
          </w:p>
        </w:tc>
      </w:tr>
      <w:tr w:rsidR="00FB6A62" w:rsidRPr="00887C7D" w:rsidTr="00086845">
        <w:trPr>
          <w:trHeight w:val="305"/>
        </w:trPr>
        <w:tc>
          <w:tcPr>
            <w:tcW w:w="4788" w:type="dxa"/>
            <w:vAlign w:val="center"/>
          </w:tcPr>
          <w:p w:rsidR="00FB6A62" w:rsidRPr="00887C7D" w:rsidRDefault="00FB6A62" w:rsidP="00086845">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rsidR="00FB6A62" w:rsidRPr="00887C7D" w:rsidRDefault="00FB6A62" w:rsidP="00086845">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rsidR="00FB6A62" w:rsidRDefault="00FB6A62" w:rsidP="00887C7D">
      <w:pPr>
        <w:autoSpaceDE w:val="0"/>
        <w:autoSpaceDN w:val="0"/>
        <w:adjustRightInd w:val="0"/>
        <w:spacing w:after="0" w:line="240" w:lineRule="auto"/>
        <w:rPr>
          <w:rFonts w:ascii="Arial" w:eastAsia="Calibri" w:hAnsi="Arial" w:cs="Arial"/>
          <w:b/>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lang w:val="en-CA"/>
        </w:rPr>
      </w:pPr>
      <w:r w:rsidRPr="00887C7D">
        <w:rPr>
          <w:rFonts w:ascii="Arial" w:eastAsia="Calibri" w:hAnsi="Arial" w:cs="Arial"/>
          <w:b/>
          <w:color w:val="000000"/>
          <w:lang w:val="en-CA"/>
        </w:rPr>
        <w:t>Terms and Conditions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is administered by INSP, with data collection and data entry coordinated by Rosaura Perez. INSP authorizes the International Tobacco Control Data Repository </w:t>
      </w:r>
      <w:r w:rsidRPr="00887C7D">
        <w:rPr>
          <w:rFonts w:ascii="Arial" w:eastAsia="Calibri" w:hAnsi="Arial" w:cs="Arial"/>
          <w:b/>
          <w:color w:val="000000"/>
          <w:lang w:val="en-CA"/>
        </w:rPr>
        <w:t>(ITCDR)</w:t>
      </w:r>
      <w:r w:rsidRPr="00887C7D">
        <w:rPr>
          <w:rFonts w:ascii="Arial" w:eastAsia="Calibri" w:hAnsi="Arial" w:cs="Arial"/>
          <w:color w:val="000000"/>
          <w:lang w:val="en-CA"/>
        </w:rPr>
        <w:t xml:space="preserve">, operated by the ITC Project Data Management Centre (DMC) at the University of Waterloo, to house the Wave 6 </w:t>
      </w:r>
      <w:r w:rsidRPr="00887C7D">
        <w:rPr>
          <w:rFonts w:ascii="Arial" w:eastAsia="Calibri" w:hAnsi="Arial" w:cs="Arial"/>
          <w:i/>
          <w:color w:val="000000"/>
          <w:lang w:val="en-CA"/>
        </w:rPr>
        <w:t xml:space="preserve">ITC Mexico Survey </w:t>
      </w:r>
      <w:r w:rsidRPr="00887C7D">
        <w:rPr>
          <w:rFonts w:ascii="Arial" w:eastAsia="Calibri" w:hAnsi="Arial" w:cs="Arial"/>
          <w:color w:val="000000"/>
          <w:lang w:val="en-CA"/>
        </w:rPr>
        <w:t xml:space="preserve">data, and to manage access to the data by approved researchers according to the data sharing protocol described in the </w:t>
      </w:r>
      <w:r w:rsidRPr="00887C7D">
        <w:rPr>
          <w:rFonts w:ascii="Arial" w:eastAsia="Calibri" w:hAnsi="Arial" w:cs="Arial"/>
          <w:b/>
          <w:i/>
          <w:color w:val="000000"/>
          <w:lang w:val="en-CA"/>
        </w:rPr>
        <w:t>ITC Data Request Guidelines</w:t>
      </w:r>
      <w:r w:rsidRPr="00887C7D">
        <w:rPr>
          <w:rFonts w:ascii="Arial" w:eastAsia="Calibri" w:hAnsi="Arial" w:cs="Arial"/>
          <w:color w:val="000000"/>
          <w:lang w:val="en-CA"/>
        </w:rPr>
        <w:t xml:space="preserve"> (http://www.itcproject.org/datarequ).</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color w:val="000000"/>
          <w:lang w:val="en-CA"/>
        </w:rPr>
        <w:t>ITC Internal Data Usage Agreement</w:t>
      </w:r>
      <w:r w:rsidRPr="00887C7D">
        <w:rPr>
          <w:rFonts w:ascii="Arial" w:eastAsia="Calibri" w:hAnsi="Arial" w:cs="Arial"/>
          <w:color w:val="000000"/>
          <w:lang w:val="en-CA"/>
        </w:rPr>
        <w:t xml:space="preserve"> (http://www.itcproject.org/datarequ). As co-owners of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 both INSP and DMC will notify each other of all requests to use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As co-owners of the data, ITC Principal Investigators will abide by the terms of the </w:t>
      </w:r>
      <w:r w:rsidRPr="00887C7D">
        <w:rPr>
          <w:rFonts w:ascii="Arial" w:eastAsia="Calibri" w:hAnsi="Arial" w:cs="Arial"/>
          <w:b/>
          <w:i/>
          <w:color w:val="000000"/>
          <w:lang w:val="en-CA"/>
        </w:rPr>
        <w:t>Internal Data Usage Agreement</w:t>
      </w:r>
      <w:r w:rsidRPr="00887C7D">
        <w:rPr>
          <w:rFonts w:ascii="Arial" w:eastAsia="Calibri" w:hAnsi="Arial" w:cs="Arial"/>
          <w:color w:val="000000"/>
          <w:lang w:val="en-CA"/>
        </w:rPr>
        <w:t xml:space="preserve"> (http://www.itcproject.org/datarequ), providing signed agreements to the DMC in order to share data internally with specified members of their research teams.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In all matters regarding access, DMC will clearly identify INSP as co-owners of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 and will not alter the data in any way, other than as allowed by this agreement.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lang w:val="en-CA"/>
        </w:rPr>
      </w:pPr>
      <w:r w:rsidRPr="00887C7D">
        <w:rPr>
          <w:rFonts w:ascii="Arial" w:eastAsia="Calibri" w:hAnsi="Arial" w:cs="Arial"/>
          <w:b/>
          <w:color w:val="000000"/>
          <w:lang w:val="en-CA"/>
        </w:rPr>
        <w:t>Communication and Collaboration</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Members of the Mexico Team have the right to use the data to produce articles for submission to professional journals and other forms of dissemination that report on these data (e.g., reports and conference presentations). All parties to this agreement should not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 where the term ‘internal’ is defined as being either within INSP or addressed only to policy-makers or organizations in Mexico, as deemed appropriate by the Mexico Team).</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Mexico Project data, but will be exclusive of internal reports and internal non-conference presentations (where the term ‘internal’ is defined as being either </w:t>
      </w:r>
      <w:r w:rsidRPr="00887C7D">
        <w:rPr>
          <w:rFonts w:ascii="Arial" w:eastAsia="Calibri" w:hAnsi="Arial" w:cs="Arial"/>
          <w:color w:val="000000"/>
          <w:lang w:val="en-CA"/>
        </w:rPr>
        <w:lastRenderedPageBreak/>
        <w:t>within INSP or addressed only to policy-makers or organizations in Mexico, as deemed appropriate by the Mexico Team).</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color w:val="000000"/>
          <w:lang w:val="en-CA"/>
        </w:rPr>
        <w:t>ITC Dissemination Proposal Form</w:t>
      </w:r>
      <w:r w:rsidRPr="00887C7D">
        <w:rPr>
          <w:rFonts w:ascii="Arial" w:eastAsia="Calibri" w:hAnsi="Arial" w:cs="Arial"/>
          <w:color w:val="000000"/>
          <w:lang w:val="en-CA"/>
        </w:rPr>
        <w:t xml:space="preserve"> (http://www.itcproject.org/library/paperlist/itc_dissem)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For all papers that the ITC Principal Investigator team members may lead using data from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the Mexico Team members will be invited to be co-authors. In reciprocal fashion, for any papers or presentations that the Mexico Team may lead using </w:t>
      </w:r>
      <w:r w:rsidRPr="00887C7D">
        <w:rPr>
          <w:rFonts w:ascii="Arial" w:eastAsia="Calibri" w:hAnsi="Arial" w:cs="Arial"/>
          <w:i/>
          <w:color w:val="000000"/>
          <w:lang w:val="en-CA"/>
        </w:rPr>
        <w:t>ITC Mexico Survey – Wave 6</w:t>
      </w:r>
      <w:r w:rsidRPr="00887C7D">
        <w:rPr>
          <w:rFonts w:ascii="Arial" w:eastAsia="Calibri" w:hAnsi="Arial" w:cs="Arial"/>
          <w:color w:val="000000"/>
          <w:lang w:val="en-CA"/>
        </w:rPr>
        <w:t xml:space="preserve"> data, the relevant ITC Investigators will be invited to be co-authors. The Mexico Team will consult with Dr. Geoffrey Fong to identify the relevant ITC Investigators who would be appropriate to invite as co-authors.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Members of the Mexico Team will adhere to the criteria for authorship on papers to be published in scientific journals, as outlined in the </w:t>
      </w:r>
      <w:r w:rsidRPr="00887C7D">
        <w:rPr>
          <w:rFonts w:ascii="Arial" w:eastAsia="Calibri" w:hAnsi="Arial" w:cs="Arial"/>
          <w:b/>
          <w:i/>
          <w:color w:val="000000"/>
          <w:lang w:val="en-CA"/>
        </w:rPr>
        <w:t>ITC Authorship Policy</w:t>
      </w:r>
      <w:r w:rsidRPr="00887C7D">
        <w:rPr>
          <w:rFonts w:ascii="Arial" w:eastAsia="Calibri" w:hAnsi="Arial" w:cs="Arial"/>
          <w:color w:val="000000"/>
          <w:lang w:val="en-CA"/>
        </w:rPr>
        <w:t xml:space="preserve"> (http://www.itcproject.org/library/paperlist/authorship~3).</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ITC Investigator team will explore analyses that use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 </w:t>
      </w:r>
      <w:r w:rsidRPr="00887C7D">
        <w:rPr>
          <w:rFonts w:ascii="Arial" w:eastAsia="Calibri" w:hAnsi="Arial" w:cs="Arial"/>
          <w:b/>
          <w:color w:val="000000"/>
          <w:lang w:val="en-CA"/>
        </w:rPr>
        <w:t>in comparison with data from other countries</w:t>
      </w:r>
      <w:r w:rsidRPr="00887C7D">
        <w:rPr>
          <w:rFonts w:ascii="Arial" w:eastAsia="Calibri" w:hAnsi="Arial" w:cs="Arial"/>
          <w:color w:val="000000"/>
          <w:lang w:val="en-CA"/>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Whenever publications, reports, abstracts, etc., including data from the Wave 6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r w:rsidRPr="00887C7D">
        <w:rPr>
          <w:rFonts w:ascii="Arial" w:eastAsia="Calibri" w:hAnsi="Arial" w:cs="Arial"/>
          <w:b/>
          <w:color w:val="000000"/>
          <w:u w:val="single"/>
          <w:lang w:val="en-CA"/>
        </w:rPr>
        <w:t>Wave 7 (July 25, 2014)</w:t>
      </w: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49"/>
        <w:gridCol w:w="4701"/>
      </w:tblGrid>
      <w:tr w:rsidR="00887C7D" w:rsidRPr="00887C7D" w:rsidTr="00887C7D">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E-mail</w:t>
            </w:r>
          </w:p>
        </w:tc>
      </w:tr>
      <w:tr w:rsidR="00887C7D" w:rsidRPr="00887C7D" w:rsidTr="00B21FE9">
        <w:trPr>
          <w:trHeight w:val="602"/>
        </w:trPr>
        <w:tc>
          <w:tcPr>
            <w:tcW w:w="4788" w:type="dxa"/>
            <w:vAlign w:val="center"/>
          </w:tcPr>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James Thrasher</w:t>
            </w:r>
          </w:p>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Tonatiuh Barrientos Gutierrez</w:t>
            </w:r>
          </w:p>
        </w:tc>
        <w:tc>
          <w:tcPr>
            <w:tcW w:w="4788" w:type="dxa"/>
            <w:vAlign w:val="center"/>
          </w:tcPr>
          <w:p w:rsidR="00887C7D" w:rsidRPr="00887C7D" w:rsidRDefault="006146DE" w:rsidP="00887C7D">
            <w:pPr>
              <w:autoSpaceDE w:val="0"/>
              <w:autoSpaceDN w:val="0"/>
              <w:adjustRightInd w:val="0"/>
              <w:jc w:val="center"/>
              <w:rPr>
                <w:rFonts w:ascii="Arial" w:eastAsia="Calibri" w:hAnsi="Arial" w:cs="Arial"/>
              </w:rPr>
            </w:pPr>
            <w:hyperlink r:id="rId7" w:history="1">
              <w:r w:rsidR="00887C7D" w:rsidRPr="00887C7D">
                <w:rPr>
                  <w:rFonts w:ascii="Arial" w:eastAsia="Calibri" w:hAnsi="Arial" w:cs="Arial"/>
                </w:rPr>
                <w:t>thrasher@mailbox.sc.edu</w:t>
              </w:r>
            </w:hyperlink>
          </w:p>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rPr>
              <w:t>tbarrientos@insp.mx</w:t>
            </w:r>
          </w:p>
        </w:tc>
      </w:tr>
    </w:tbl>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spacing w:after="0" w:line="240" w:lineRule="auto"/>
        <w:rPr>
          <w:rFonts w:ascii="Arial" w:eastAsia="Calibri" w:hAnsi="Arial" w:cs="Arial"/>
          <w:b/>
          <w:color w:val="800080"/>
          <w:lang w:val="en-CA"/>
        </w:rPr>
      </w:pPr>
      <w:r w:rsidRPr="00887C7D">
        <w:rPr>
          <w:rFonts w:ascii="Arial" w:eastAsia="Calibri" w:hAnsi="Arial" w:cs="Arial"/>
          <w:b/>
          <w:lang w:val="en-CA"/>
        </w:rPr>
        <w:t>Terms and Conditions</w:t>
      </w:r>
    </w:p>
    <w:p w:rsidR="00887C7D" w:rsidRPr="00887C7D" w:rsidRDefault="00887C7D" w:rsidP="00887C7D">
      <w:pPr>
        <w:spacing w:after="0" w:line="240" w:lineRule="auto"/>
        <w:rPr>
          <w:rFonts w:ascii="Arial" w:eastAsia="Calibri" w:hAnsi="Arial" w:cs="Arial"/>
          <w:lang w:val="en-CA"/>
        </w:rPr>
      </w:pPr>
      <w:r w:rsidRPr="00887C7D">
        <w:rPr>
          <w:rFonts w:ascii="Arial" w:eastAsia="Calibri" w:hAnsi="Arial" w:cs="Arial"/>
          <w:lang w:val="en-CA"/>
        </w:rPr>
        <w:t xml:space="preserve">The </w:t>
      </w:r>
      <w:r w:rsidRPr="00887C7D">
        <w:rPr>
          <w:rFonts w:ascii="Arial" w:eastAsia="Calibri" w:hAnsi="Arial" w:cs="Arial"/>
          <w:i/>
          <w:lang w:val="en-CA"/>
        </w:rPr>
        <w:t>ITC Mexico Survey</w:t>
      </w:r>
      <w:r w:rsidRPr="00887C7D">
        <w:rPr>
          <w:rFonts w:ascii="Arial" w:eastAsia="Calibri" w:hAnsi="Arial" w:cs="Arial"/>
          <w:lang w:val="en-CA"/>
        </w:rPr>
        <w:t xml:space="preserve"> is administered by</w:t>
      </w:r>
      <w:r w:rsidRPr="00887C7D">
        <w:rPr>
          <w:rFonts w:ascii="Arial" w:eastAsia="Calibri" w:hAnsi="Arial" w:cs="Arial"/>
          <w:color w:val="800080"/>
          <w:lang w:val="en-CA"/>
        </w:rPr>
        <w:t xml:space="preserve"> </w:t>
      </w:r>
      <w:r w:rsidRPr="00887C7D">
        <w:rPr>
          <w:rFonts w:ascii="Arial" w:eastAsia="Calibri" w:hAnsi="Arial" w:cs="Arial"/>
          <w:lang w:val="en-CA"/>
        </w:rPr>
        <w:t xml:space="preserve">INSP, with data collection and data entry coordinated by Rosaura Pérez. INSP authorizes the International Tobacco Control Data Repository </w:t>
      </w:r>
      <w:r w:rsidRPr="00887C7D">
        <w:rPr>
          <w:rFonts w:ascii="Arial" w:eastAsia="Calibri" w:hAnsi="Arial" w:cs="Arial"/>
          <w:b/>
          <w:lang w:val="en-CA"/>
        </w:rPr>
        <w:t>(ITCDR),</w:t>
      </w:r>
      <w:r w:rsidRPr="00887C7D">
        <w:rPr>
          <w:rFonts w:ascii="Arial" w:eastAsia="Calibri" w:hAnsi="Arial" w:cs="Arial"/>
          <w:lang w:val="en-CA"/>
        </w:rPr>
        <w:t xml:space="preserve"> operated by the ITC Project Data Management Centre (DMC) at the </w:t>
      </w:r>
      <w:r w:rsidRPr="00887C7D">
        <w:rPr>
          <w:rFonts w:ascii="Arial" w:eastAsia="Calibri" w:hAnsi="Arial" w:cs="Arial"/>
          <w:lang w:val="en-CA"/>
        </w:rPr>
        <w:lastRenderedPageBreak/>
        <w:t xml:space="preserve">University of Waterloo, to house the Wave 7 </w:t>
      </w:r>
      <w:r w:rsidRPr="00887C7D">
        <w:rPr>
          <w:rFonts w:ascii="Arial" w:eastAsia="Calibri" w:hAnsi="Arial" w:cs="Arial"/>
          <w:i/>
          <w:lang w:val="en-CA"/>
        </w:rPr>
        <w:t>ITC Mexico Survey</w:t>
      </w:r>
      <w:r w:rsidRPr="00887C7D">
        <w:rPr>
          <w:rFonts w:ascii="Arial" w:eastAsia="Calibri" w:hAnsi="Arial" w:cs="Arial"/>
          <w:lang w:val="en-CA"/>
        </w:rPr>
        <w:t xml:space="preserve"> data, and to manage access to the data by approved researchers according to the data sharing protocol described in the </w:t>
      </w:r>
      <w:r w:rsidRPr="00887C7D">
        <w:rPr>
          <w:rFonts w:ascii="Arial" w:eastAsia="Calibri" w:hAnsi="Arial" w:cs="Arial"/>
          <w:b/>
          <w:i/>
          <w:lang w:val="en-CA"/>
        </w:rPr>
        <w:t xml:space="preserve">ITC Data Request Guidelines </w:t>
      </w:r>
      <w:r w:rsidRPr="00887C7D">
        <w:rPr>
          <w:rFonts w:ascii="Arial" w:eastAsia="Calibri" w:hAnsi="Arial" w:cs="Arial"/>
          <w:lang w:val="en-CA"/>
        </w:rPr>
        <w:t>(</w:t>
      </w:r>
      <w:hyperlink r:id="rId8"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w:t>
      </w:r>
    </w:p>
    <w:p w:rsidR="00887C7D" w:rsidRPr="00887C7D" w:rsidRDefault="00887C7D" w:rsidP="00887C7D">
      <w:pPr>
        <w:spacing w:after="0" w:line="240" w:lineRule="auto"/>
        <w:rPr>
          <w:rFonts w:ascii="Arial" w:eastAsia="Calibri" w:hAnsi="Arial" w:cs="Arial"/>
          <w:lang w:val="en-CA"/>
        </w:rPr>
      </w:pPr>
    </w:p>
    <w:p w:rsidR="00887C7D" w:rsidRPr="00887C7D" w:rsidRDefault="00887C7D" w:rsidP="00887C7D">
      <w:pPr>
        <w:spacing w:after="0" w:line="240" w:lineRule="auto"/>
        <w:rPr>
          <w:rFonts w:ascii="Arial" w:eastAsia="Calibri" w:hAnsi="Arial" w:cs="Arial"/>
          <w:lang w:val="en-CA"/>
        </w:rPr>
      </w:pPr>
      <w:r w:rsidRPr="00887C7D">
        <w:rPr>
          <w:rFonts w:ascii="Arial" w:eastAsia="Calibri" w:hAnsi="Arial" w:cs="Arial"/>
          <w:lang w:val="en-CA"/>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lang w:val="en-CA"/>
        </w:rPr>
        <w:t>ITC Internal Data Usage Agreement</w:t>
      </w:r>
      <w:r w:rsidRPr="00887C7D">
        <w:rPr>
          <w:rFonts w:ascii="Arial" w:eastAsia="Calibri" w:hAnsi="Arial" w:cs="Arial"/>
          <w:lang w:val="en-CA"/>
        </w:rPr>
        <w:t xml:space="preserve"> (</w:t>
      </w:r>
      <w:hyperlink r:id="rId9"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 xml:space="preserve">).  Two years after the date of issuance of cleaned data sets by the DMC, INSP grants DMC the non-exclusive right to provide subsets of the data to other approved researchers through the </w:t>
      </w:r>
      <w:r w:rsidRPr="00887C7D">
        <w:rPr>
          <w:rFonts w:ascii="Arial" w:eastAsia="Calibri" w:hAnsi="Arial" w:cs="Arial"/>
          <w:b/>
          <w:i/>
          <w:lang w:val="en-CA"/>
        </w:rPr>
        <w:t>ITC Data Request Application</w:t>
      </w:r>
      <w:r w:rsidRPr="00887C7D">
        <w:rPr>
          <w:rFonts w:ascii="Arial" w:eastAsia="Calibri" w:hAnsi="Arial" w:cs="Arial"/>
          <w:lang w:val="en-CA"/>
        </w:rPr>
        <w:t xml:space="preserve"> process, and under the terms of the </w:t>
      </w:r>
      <w:r w:rsidRPr="00887C7D">
        <w:rPr>
          <w:rFonts w:ascii="Arial" w:eastAsia="Calibri" w:hAnsi="Arial" w:cs="Arial"/>
          <w:b/>
          <w:i/>
          <w:lang w:val="en-CA"/>
        </w:rPr>
        <w:t>ITC External Data Usage</w:t>
      </w:r>
      <w:r w:rsidRPr="00887C7D">
        <w:rPr>
          <w:rFonts w:ascii="Arial" w:eastAsia="Calibri" w:hAnsi="Arial" w:cs="Arial"/>
          <w:b/>
          <w:lang w:val="en-CA"/>
        </w:rPr>
        <w:t xml:space="preserve"> </w:t>
      </w:r>
      <w:r w:rsidRPr="00887C7D">
        <w:rPr>
          <w:rFonts w:ascii="Arial" w:eastAsia="Calibri" w:hAnsi="Arial" w:cs="Arial"/>
          <w:b/>
          <w:i/>
          <w:lang w:val="en-CA"/>
        </w:rPr>
        <w:t>Agreement</w:t>
      </w:r>
      <w:r w:rsidRPr="00887C7D">
        <w:rPr>
          <w:rFonts w:ascii="Arial" w:eastAsia="Calibri" w:hAnsi="Arial" w:cs="Arial"/>
          <w:i/>
          <w:lang w:val="en-CA"/>
        </w:rPr>
        <w:t xml:space="preserve"> </w:t>
      </w:r>
      <w:r w:rsidRPr="00887C7D">
        <w:rPr>
          <w:rFonts w:ascii="Arial" w:eastAsia="Calibri" w:hAnsi="Arial" w:cs="Arial"/>
          <w:lang w:val="en-CA"/>
        </w:rPr>
        <w:t>(</w:t>
      </w:r>
      <w:hyperlink r:id="rId10"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 xml:space="preserve">).  As co-owners of the </w:t>
      </w:r>
      <w:r w:rsidRPr="00887C7D">
        <w:rPr>
          <w:rFonts w:ascii="Arial" w:eastAsia="Calibri" w:hAnsi="Arial" w:cs="Arial"/>
          <w:i/>
          <w:lang w:val="en-CA"/>
        </w:rPr>
        <w:t>ITC Mexico Survey</w:t>
      </w:r>
      <w:r w:rsidRPr="00887C7D">
        <w:rPr>
          <w:rFonts w:ascii="Arial" w:eastAsia="Calibri" w:hAnsi="Arial" w:cs="Arial"/>
          <w:lang w:val="en-CA"/>
        </w:rPr>
        <w:t xml:space="preserve"> data, both INSP and DMC will notify each other of all requests to use the </w:t>
      </w:r>
      <w:r w:rsidRPr="00887C7D">
        <w:rPr>
          <w:rFonts w:ascii="Arial" w:eastAsia="Calibri" w:hAnsi="Arial" w:cs="Arial"/>
          <w:i/>
          <w:lang w:val="en-CA"/>
        </w:rPr>
        <w:t>ITC Mexico Survey</w:t>
      </w:r>
      <w:r w:rsidRPr="00887C7D">
        <w:rPr>
          <w:rFonts w:ascii="Arial" w:eastAsia="Calibri" w:hAnsi="Arial" w:cs="Arial"/>
          <w:lang w:val="en-CA"/>
        </w:rPr>
        <w:t xml:space="preserve"> data.</w:t>
      </w:r>
    </w:p>
    <w:p w:rsidR="00887C7D" w:rsidRPr="00887C7D" w:rsidRDefault="00887C7D" w:rsidP="00887C7D">
      <w:pPr>
        <w:spacing w:after="0" w:line="240" w:lineRule="auto"/>
        <w:rPr>
          <w:rFonts w:ascii="Arial" w:eastAsia="Calibri" w:hAnsi="Arial" w:cs="Arial"/>
          <w:lang w:val="en-CA"/>
        </w:rPr>
      </w:pP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As co-owners of the data, ITC Principal Investigators will abide by the terms of the </w:t>
      </w:r>
      <w:r w:rsidRPr="00887C7D">
        <w:rPr>
          <w:rFonts w:ascii="Arial" w:eastAsia="Calibri" w:hAnsi="Arial" w:cs="Arial"/>
          <w:b/>
          <w:i/>
          <w:lang w:val="en-CA"/>
        </w:rPr>
        <w:t>Internal Data Usage Agreement</w:t>
      </w:r>
      <w:r w:rsidRPr="00887C7D">
        <w:rPr>
          <w:rFonts w:ascii="Arial" w:eastAsia="Calibri" w:hAnsi="Arial" w:cs="Arial"/>
          <w:b/>
          <w:lang w:val="en-CA"/>
        </w:rPr>
        <w:t xml:space="preserve"> </w:t>
      </w:r>
      <w:r w:rsidRPr="00887C7D">
        <w:rPr>
          <w:rFonts w:ascii="Arial" w:eastAsia="Calibri" w:hAnsi="Arial" w:cs="Arial"/>
          <w:lang w:val="en-CA"/>
        </w:rPr>
        <w:t>(</w:t>
      </w:r>
      <w:hyperlink r:id="rId11"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 providing signed agreements to the DMC in order to share data internally with specified members of their research teams.</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In all matters regarding access, DMC will clearly identify INSP as co-owners of the </w:t>
      </w:r>
      <w:r w:rsidRPr="00887C7D">
        <w:rPr>
          <w:rFonts w:ascii="Arial" w:eastAsia="Calibri" w:hAnsi="Arial" w:cs="Arial"/>
          <w:i/>
          <w:lang w:val="en-CA"/>
        </w:rPr>
        <w:t>ITC Mexico Survey</w:t>
      </w:r>
      <w:r w:rsidRPr="00887C7D">
        <w:rPr>
          <w:rFonts w:ascii="Arial" w:eastAsia="Calibri" w:hAnsi="Arial" w:cs="Arial"/>
          <w:lang w:val="en-CA"/>
        </w:rPr>
        <w:t xml:space="preserve"> data, and will not alter the data in any way, other than as allowed by this agreement.</w:t>
      </w:r>
    </w:p>
    <w:p w:rsidR="00887C7D" w:rsidRPr="00887C7D" w:rsidRDefault="00887C7D" w:rsidP="00887C7D">
      <w:pPr>
        <w:keepNext/>
        <w:spacing w:before="240" w:after="60" w:line="240" w:lineRule="auto"/>
        <w:outlineLvl w:val="3"/>
        <w:rPr>
          <w:rFonts w:ascii="Arial" w:eastAsia="Times New Roman" w:hAnsi="Arial" w:cs="Arial"/>
          <w:b/>
          <w:bCs/>
          <w:lang w:val="en-CA" w:eastAsia="en-CA"/>
        </w:rPr>
      </w:pPr>
      <w:r w:rsidRPr="00887C7D">
        <w:rPr>
          <w:rFonts w:ascii="Arial" w:eastAsia="Times New Roman" w:hAnsi="Arial" w:cs="Arial"/>
          <w:b/>
          <w:bCs/>
          <w:lang w:val="en-CA" w:eastAsia="en-CA"/>
        </w:rPr>
        <w:t>Communication and Collaboration</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Members of the Mexico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Furthermore, the ITC Investigator team must be notified of all intentions to use the data.  As per the ITC Paper List Policy (</w:t>
      </w:r>
      <w:hyperlink r:id="rId12" w:history="1">
        <w:r w:rsidRPr="00887C7D">
          <w:rPr>
            <w:rFonts w:ascii="Arial" w:eastAsia="Calibri" w:hAnsi="Arial" w:cs="Arial"/>
            <w:color w:val="0000FF"/>
            <w:u w:val="single"/>
            <w:lang w:val="en-CA"/>
          </w:rPr>
          <w:t>http://www.itcproject.org/library/paperlist/paper_list</w:t>
        </w:r>
      </w:hyperlink>
      <w:r w:rsidRPr="00887C7D">
        <w:rPr>
          <w:rFonts w:ascii="Arial" w:eastAsia="Calibri" w:hAnsi="Arial" w:cs="Arial"/>
          <w:lang w:val="en-CA"/>
        </w:rPr>
        <w: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that use the ITC Mexico Project data, but will be</w:t>
      </w:r>
      <w:r w:rsidRPr="00887C7D">
        <w:rPr>
          <w:rFonts w:ascii="Arial" w:eastAsia="Calibri" w:hAnsi="Arial" w:cs="Arial"/>
          <w:b/>
          <w:lang w:val="en-CA"/>
        </w:rPr>
        <w:t xml:space="preserve"> </w:t>
      </w:r>
      <w:r w:rsidRPr="00887C7D">
        <w:rPr>
          <w:rFonts w:ascii="Arial" w:eastAsia="Calibri" w:hAnsi="Arial" w:cs="Arial"/>
          <w:lang w:val="en-CA"/>
        </w:rPr>
        <w:t xml:space="preserve">exclusive of internal reports and internal non-conference presentations (where the term ‘internal’ is defined as being either within INSP or addressed only to policy-makers or organizations in Mexico, as deemed appropriate by the Mexico Team).   </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The primary mandate of the publication review committee is to ensure that there is no substantial overlap in content between papers submitted for publication. The committee will also </w:t>
      </w:r>
      <w:r w:rsidRPr="00887C7D">
        <w:rPr>
          <w:rFonts w:ascii="Arial" w:eastAsia="Calibri" w:hAnsi="Arial" w:cs="Arial"/>
          <w:lang w:val="en-CA"/>
        </w:rPr>
        <w:lastRenderedPageBreak/>
        <w:t xml:space="preserve">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lang w:val="en-CA"/>
        </w:rPr>
        <w:t>ITC Dissemination Proposal Form</w:t>
      </w:r>
      <w:r w:rsidRPr="00887C7D">
        <w:rPr>
          <w:rFonts w:ascii="Arial" w:eastAsia="Calibri" w:hAnsi="Arial" w:cs="Arial"/>
          <w:lang w:val="en-CA"/>
        </w:rPr>
        <w:t xml:space="preserve"> (</w:t>
      </w:r>
      <w:hyperlink r:id="rId13" w:history="1">
        <w:r w:rsidRPr="00887C7D">
          <w:rPr>
            <w:rFonts w:ascii="Arial" w:eastAsia="Calibri" w:hAnsi="Arial" w:cs="Arial"/>
            <w:color w:val="0000FF"/>
            <w:u w:val="single"/>
            <w:lang w:val="en-CA"/>
          </w:rPr>
          <w:t>http://www.itcproject.org/library/paperlist/itc_dissem</w:t>
        </w:r>
      </w:hyperlink>
      <w:r w:rsidRPr="00887C7D">
        <w:rPr>
          <w:rFonts w:ascii="Arial" w:eastAsia="Calibri" w:hAnsi="Arial" w:cs="Arial"/>
          <w:lang w:val="en-CA"/>
        </w:rPr>
        <w:t xml:space="preserve">)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887C7D" w:rsidRPr="00887C7D" w:rsidRDefault="00887C7D" w:rsidP="00887C7D">
      <w:pPr>
        <w:tabs>
          <w:tab w:val="left" w:pos="3384"/>
        </w:tabs>
        <w:spacing w:after="200" w:line="240" w:lineRule="auto"/>
        <w:rPr>
          <w:rFonts w:ascii="Arial" w:eastAsia="Calibri" w:hAnsi="Arial" w:cs="Arial"/>
          <w:lang w:val="en-CA"/>
        </w:rPr>
      </w:pPr>
      <w:r w:rsidRPr="00887C7D">
        <w:rPr>
          <w:rFonts w:ascii="Arial" w:eastAsia="Calibri" w:hAnsi="Arial" w:cs="Arial"/>
          <w:lang w:val="en-CA"/>
        </w:rPr>
        <w:t xml:space="preserve">For all papers that the ITC Principal Investigator team members may lead using data from the </w:t>
      </w:r>
      <w:r w:rsidRPr="00887C7D">
        <w:rPr>
          <w:rFonts w:ascii="Arial" w:eastAsia="Calibri" w:hAnsi="Arial" w:cs="Arial"/>
          <w:i/>
          <w:lang w:val="en-CA"/>
        </w:rPr>
        <w:t>ITC Mexico Survey</w:t>
      </w:r>
      <w:r w:rsidRPr="00887C7D">
        <w:rPr>
          <w:rFonts w:ascii="Arial" w:eastAsia="Calibri" w:hAnsi="Arial" w:cs="Arial"/>
          <w:lang w:val="en-CA"/>
        </w:rPr>
        <w:t xml:space="preserve">, the Mexico Team members will be invited to be co-authors.  In reciprocal fashion, for any papers or presentations that the Mexico Team may lead using </w:t>
      </w:r>
      <w:r w:rsidRPr="00887C7D">
        <w:rPr>
          <w:rFonts w:ascii="Arial" w:eastAsia="Calibri" w:hAnsi="Arial" w:cs="Arial"/>
          <w:i/>
          <w:lang w:val="en-CA"/>
        </w:rPr>
        <w:t>ITC Mexico Survey - Wave 7</w:t>
      </w:r>
      <w:r w:rsidRPr="00887C7D">
        <w:rPr>
          <w:rFonts w:ascii="Arial" w:eastAsia="Calibri" w:hAnsi="Arial" w:cs="Arial"/>
          <w:lang w:val="en-CA"/>
        </w:rPr>
        <w:t xml:space="preserve"> data, the relevant ITC Investigators will be invited to be co-authors.  The Mexico Team will consult with Dr. Geoffrey Fong to identify the relevant ITC Investigators who would be appropriate to invite as co-authors.  </w:t>
      </w:r>
    </w:p>
    <w:p w:rsidR="00887C7D" w:rsidRPr="00887C7D" w:rsidRDefault="00887C7D" w:rsidP="00887C7D">
      <w:pPr>
        <w:spacing w:after="200" w:line="240" w:lineRule="auto"/>
        <w:rPr>
          <w:rFonts w:ascii="Arial" w:eastAsia="Calibri" w:hAnsi="Arial" w:cs="Arial"/>
          <w:b/>
          <w:lang w:val="en-CA"/>
        </w:rPr>
      </w:pPr>
      <w:r w:rsidRPr="00887C7D">
        <w:rPr>
          <w:rFonts w:ascii="Arial" w:eastAsia="Calibri" w:hAnsi="Arial" w:cs="Arial"/>
          <w:lang w:val="en-CA"/>
        </w:rPr>
        <w:t xml:space="preserve">Members of the Mexico Team will adhere to the criteria for authorship on papers to be published in scientific journals, as outlined in the </w:t>
      </w:r>
      <w:r w:rsidRPr="00887C7D">
        <w:rPr>
          <w:rFonts w:ascii="Arial" w:eastAsia="Calibri" w:hAnsi="Arial" w:cs="Arial"/>
          <w:b/>
          <w:i/>
          <w:lang w:val="en-CA"/>
        </w:rPr>
        <w:t xml:space="preserve">ITC Authorship Policy </w:t>
      </w:r>
      <w:r w:rsidRPr="00887C7D">
        <w:rPr>
          <w:rFonts w:ascii="Arial" w:eastAsia="Calibri" w:hAnsi="Arial" w:cs="Arial"/>
          <w:lang w:val="en-CA"/>
        </w:rPr>
        <w:t>(</w:t>
      </w:r>
      <w:hyperlink r:id="rId14" w:history="1">
        <w:r w:rsidRPr="00887C7D">
          <w:rPr>
            <w:rFonts w:ascii="Arial" w:eastAsia="Calibri" w:hAnsi="Arial" w:cs="Arial"/>
            <w:color w:val="0000FF"/>
            <w:u w:val="single"/>
            <w:lang w:val="en-CA"/>
          </w:rPr>
          <w:t>http://www.itcproject.org/library/paperlist/authorship~3</w:t>
        </w:r>
      </w:hyperlink>
      <w:r w:rsidRPr="00887C7D">
        <w:rPr>
          <w:rFonts w:ascii="Arial" w:eastAsia="Calibri" w:hAnsi="Arial" w:cs="Arial"/>
          <w:lang w:val="en-CA"/>
        </w:rPr>
        <w:t>).</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The ITC Investigator team will explore analyses that use </w:t>
      </w:r>
      <w:r w:rsidRPr="00887C7D">
        <w:rPr>
          <w:rFonts w:ascii="Arial" w:eastAsia="Calibri" w:hAnsi="Arial" w:cs="Arial"/>
          <w:i/>
          <w:lang w:val="en-CA"/>
        </w:rPr>
        <w:t>ITC Mexico Survey</w:t>
      </w:r>
      <w:r w:rsidRPr="00887C7D">
        <w:rPr>
          <w:rFonts w:ascii="Arial" w:eastAsia="Calibri" w:hAnsi="Arial" w:cs="Arial"/>
          <w:lang w:val="en-CA"/>
        </w:rPr>
        <w:t xml:space="preserve"> data </w:t>
      </w:r>
      <w:r w:rsidRPr="00887C7D">
        <w:rPr>
          <w:rFonts w:ascii="Arial" w:eastAsia="Calibri" w:hAnsi="Arial" w:cs="Arial"/>
          <w:b/>
          <w:lang w:val="en-CA"/>
        </w:rPr>
        <w:t>in comparison with data from other countries</w:t>
      </w:r>
      <w:r w:rsidRPr="00887C7D">
        <w:rPr>
          <w:rFonts w:ascii="Arial" w:eastAsia="Calibri" w:hAnsi="Arial" w:cs="Arial"/>
          <w:lang w:val="en-CA"/>
        </w:rPr>
        <w:t>.  In such analyses,</w:t>
      </w:r>
      <w:r w:rsidRPr="00887C7D">
        <w:rPr>
          <w:rFonts w:ascii="Arial" w:eastAsia="Calibri" w:hAnsi="Arial" w:cs="Arial"/>
          <w:b/>
          <w:lang w:val="en-CA"/>
        </w:rPr>
        <w:t xml:space="preserve"> </w:t>
      </w:r>
      <w:r w:rsidRPr="00887C7D">
        <w:rPr>
          <w:rFonts w:ascii="Arial" w:eastAsia="Calibri" w:hAnsi="Arial" w:cs="Arial"/>
          <w:lang w:val="en-CA"/>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887C7D" w:rsidRPr="00887C7D" w:rsidRDefault="00887C7D" w:rsidP="00887C7D">
      <w:pPr>
        <w:spacing w:after="0" w:line="240" w:lineRule="auto"/>
        <w:rPr>
          <w:rFonts w:ascii="Arial" w:eastAsia="Calibri" w:hAnsi="Arial" w:cs="Arial"/>
          <w:lang w:val="en-CA"/>
        </w:rPr>
      </w:pPr>
      <w:r w:rsidRPr="00887C7D">
        <w:rPr>
          <w:rFonts w:ascii="Arial" w:eastAsia="Calibri" w:hAnsi="Arial" w:cs="Arial"/>
          <w:lang w:val="en-CA"/>
        </w:rPr>
        <w:t>Whenever publications, reports, abstracts,, including data from the Wave 7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rsidR="00887C7D" w:rsidRPr="00887C7D" w:rsidRDefault="00887C7D" w:rsidP="00887C7D">
      <w:pPr>
        <w:spacing w:after="0" w:line="240" w:lineRule="auto"/>
        <w:rPr>
          <w:rFonts w:ascii="Arial" w:eastAsia="Calibri" w:hAnsi="Arial" w:cs="Arial"/>
          <w:color w:val="000000"/>
          <w:lang w:val="en-CA"/>
        </w:rPr>
      </w:pPr>
    </w:p>
    <w:p w:rsidR="00887C7D" w:rsidRPr="00887C7D" w:rsidRDefault="00887C7D" w:rsidP="00887C7D">
      <w:pPr>
        <w:spacing w:after="0" w:line="240" w:lineRule="auto"/>
        <w:rPr>
          <w:rFonts w:ascii="Arial" w:eastAsia="Calibri" w:hAnsi="Arial" w:cs="Arial"/>
          <w:color w:val="000000"/>
          <w:lang w:val="en-CA"/>
        </w:rPr>
      </w:pPr>
    </w:p>
    <w:p w:rsidR="00887C7D" w:rsidRPr="00887C7D" w:rsidRDefault="00887C7D" w:rsidP="00887C7D">
      <w:pPr>
        <w:spacing w:after="0" w:line="240" w:lineRule="auto"/>
        <w:rPr>
          <w:rFonts w:ascii="Arial" w:eastAsia="Calibri" w:hAnsi="Arial" w:cs="Arial"/>
          <w:color w:val="000000"/>
          <w:lang w:val="en-CA"/>
        </w:rPr>
      </w:pPr>
      <w:r w:rsidRPr="00887C7D">
        <w:rPr>
          <w:rFonts w:ascii="Arial" w:eastAsia="Calibri" w:hAnsi="Arial" w:cs="Arial"/>
          <w:color w:val="000000"/>
          <w:lang w:val="en-CA"/>
        </w:rPr>
        <w:t>I have read and understand the conditions stated above.</w:t>
      </w:r>
    </w:p>
    <w:p w:rsidR="00887C7D" w:rsidRPr="00887C7D" w:rsidRDefault="00887C7D" w:rsidP="00887C7D">
      <w:pPr>
        <w:spacing w:after="0" w:line="240" w:lineRule="auto"/>
        <w:rPr>
          <w:rFonts w:ascii="Arial" w:eastAsia="Calibri" w:hAnsi="Arial" w:cs="Arial"/>
          <w:lang w:val="en-CA"/>
        </w:rPr>
      </w:pPr>
    </w:p>
    <w:tbl>
      <w:tblPr>
        <w:tblStyle w:val="TableGrid"/>
        <w:tblW w:w="0" w:type="auto"/>
        <w:tblLook w:val="04A0" w:firstRow="1" w:lastRow="0" w:firstColumn="1" w:lastColumn="0" w:noHBand="0" w:noVBand="1"/>
      </w:tblPr>
      <w:tblGrid>
        <w:gridCol w:w="9350"/>
      </w:tblGrid>
      <w:tr w:rsidR="00887C7D" w:rsidRPr="00887C7D" w:rsidTr="003A49FA">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Name: </w:t>
            </w:r>
            <w:sdt>
              <w:sdtPr>
                <w:rPr>
                  <w:rFonts w:ascii="Arial" w:eastAsia="Calibri" w:hAnsi="Arial" w:cs="Arial"/>
                  <w:iCs/>
                  <w:color w:val="000000"/>
                </w:rPr>
                <w:id w:val="-285041350"/>
                <w:showingPlcHdr/>
                <w:text/>
              </w:sdtPr>
              <w:sdtEndPr/>
              <w:sdtContent>
                <w:r w:rsidRPr="00887C7D">
                  <w:rPr>
                    <w:rFonts w:ascii="Calibri" w:eastAsia="Calibri" w:hAnsi="Calibri" w:cs="Times New Roman"/>
                    <w:color w:val="808080"/>
                  </w:rPr>
                  <w:t>Click here to enter text.</w:t>
                </w:r>
              </w:sdtContent>
            </w:sdt>
          </w:p>
        </w:tc>
      </w:tr>
      <w:tr w:rsidR="00887C7D" w:rsidRPr="00887C7D" w:rsidTr="003A49FA">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568623476"/>
                <w:showingPlcHdr/>
              </w:sdtPr>
              <w:sdtEndPr/>
              <w:sdtContent>
                <w:r w:rsidRPr="00887C7D">
                  <w:rPr>
                    <w:rFonts w:ascii="Calibri" w:eastAsia="Calibri" w:hAnsi="Calibri" w:cs="Times New Roman"/>
                    <w:color w:val="808080"/>
                  </w:rPr>
                  <w:t>Click here to enter e-mail.</w:t>
                </w:r>
              </w:sdtContent>
            </w:sdt>
          </w:p>
        </w:tc>
      </w:tr>
      <w:tr w:rsidR="00887C7D" w:rsidRPr="00887C7D" w:rsidTr="003A49FA">
        <w:trPr>
          <w:trHeight w:val="1001"/>
        </w:trPr>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(Electronic) Signature:</w:t>
            </w:r>
          </w:p>
          <w:p w:rsidR="00887C7D" w:rsidRPr="00887C7D" w:rsidRDefault="006146DE" w:rsidP="00887C7D">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82057728"/>
                <w:showingPlcHdr/>
                <w:picture/>
              </w:sdtPr>
              <w:sdtEndPr/>
              <w:sdtContent>
                <w:r w:rsidR="00887C7D" w:rsidRPr="00887C7D">
                  <w:rPr>
                    <w:rFonts w:ascii="Arial" w:eastAsia="Calibri" w:hAnsi="Arial" w:cs="Arial"/>
                    <w:noProof/>
                    <w:color w:val="000000"/>
                    <w:szCs w:val="24"/>
                  </w:rPr>
                  <w:drawing>
                    <wp:inline distT="0" distB="0" distL="0" distR="0" wp14:anchorId="3FAD59CC" wp14:editId="785AAEF7">
                      <wp:extent cx="3460090" cy="4608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87C7D" w:rsidRPr="00887C7D" w:rsidTr="003A49FA">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Date: </w:t>
            </w:r>
            <w:sdt>
              <w:sdtPr>
                <w:rPr>
                  <w:rFonts w:ascii="Arial" w:eastAsia="Calibri" w:hAnsi="Arial" w:cs="Arial"/>
                  <w:iCs/>
                  <w:color w:val="000000"/>
                </w:rPr>
                <w:id w:val="-696769502"/>
                <w:showingPlcHdr/>
                <w:date>
                  <w:dateFormat w:val="yyyy-MM-dd"/>
                  <w:lid w:val="en-CA"/>
                  <w:storeMappedDataAs w:val="dateTime"/>
                  <w:calendar w:val="gregorian"/>
                </w:date>
              </w:sdtPr>
              <w:sdtEndPr/>
              <w:sdtContent>
                <w:r w:rsidRPr="00887C7D">
                  <w:rPr>
                    <w:rFonts w:ascii="Calibri" w:eastAsia="Calibri" w:hAnsi="Calibri" w:cs="Times New Roman"/>
                    <w:color w:val="808080"/>
                  </w:rPr>
                  <w:t>Click here to enter a date.</w:t>
                </w:r>
              </w:sdtContent>
            </w:sdt>
          </w:p>
        </w:tc>
      </w:tr>
    </w:tbl>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782499" w:rsidRPr="00887C7D" w:rsidRDefault="00782499" w:rsidP="00887C7D">
      <w:pPr>
        <w:spacing w:after="200" w:line="276" w:lineRule="auto"/>
        <w:rPr>
          <w:rFonts w:ascii="Arial" w:eastAsia="Calibri" w:hAnsi="Arial" w:cs="Arial"/>
          <w:b/>
          <w:color w:val="000000"/>
          <w:u w:val="single"/>
          <w:lang w:val="en-CA"/>
        </w:rPr>
      </w:pPr>
    </w:p>
    <w:sectPr w:rsidR="00782499" w:rsidRPr="00887C7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DE" w:rsidRDefault="006146DE" w:rsidP="00B21FE9">
      <w:pPr>
        <w:spacing w:after="0" w:line="240" w:lineRule="auto"/>
      </w:pPr>
      <w:r>
        <w:separator/>
      </w:r>
    </w:p>
  </w:endnote>
  <w:endnote w:type="continuationSeparator" w:id="0">
    <w:p w:rsidR="006146DE" w:rsidRDefault="006146DE" w:rsidP="00B2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91" w:rsidRDefault="00EC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E9" w:rsidRDefault="00B21FE9">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2"/>
      <w:gridCol w:w="3020"/>
    </w:tblGrid>
    <w:tr w:rsidR="00B21FE9" w:rsidTr="002F4E3D">
      <w:trPr>
        <w:trHeight w:val="288"/>
      </w:trPr>
      <w:tc>
        <w:tcPr>
          <w:tcW w:w="1088" w:type="dxa"/>
          <w:vMerge w:val="restart"/>
          <w:tcBorders>
            <w:top w:val="single" w:sz="12" w:space="0" w:color="auto"/>
            <w:left w:val="nil"/>
            <w:bottom w:val="nil"/>
            <w:right w:val="nil"/>
          </w:tcBorders>
          <w:hideMark/>
        </w:tcPr>
        <w:p w:rsidR="00B21FE9" w:rsidRDefault="00B21FE9" w:rsidP="00B21FE9">
          <w:pPr>
            <w:pStyle w:val="Footer"/>
            <w:jc w:val="center"/>
          </w:pPr>
          <w:r>
            <w:rPr>
              <w:noProof/>
            </w:rPr>
            <w:drawing>
              <wp:inline distT="0" distB="0" distL="0" distR="0" wp14:anchorId="67087E40" wp14:editId="4BE0464D">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21FE9" w:rsidRDefault="00B21FE9" w:rsidP="00B21FE9">
          <w:pPr>
            <w:pStyle w:val="Footer"/>
            <w:rPr>
              <w:rFonts w:ascii="Arial" w:hAnsi="Arial" w:cs="Arial"/>
              <w:sz w:val="20"/>
            </w:rPr>
          </w:pPr>
          <w:r>
            <w:rPr>
              <w:rFonts w:ascii="Arial" w:hAnsi="Arial" w:cs="Arial"/>
              <w:sz w:val="20"/>
            </w:rPr>
            <w:t>ITC Data Sharing with Mexico (A3)</w:t>
          </w:r>
        </w:p>
      </w:tc>
      <w:tc>
        <w:tcPr>
          <w:tcW w:w="3089" w:type="dxa"/>
          <w:tcBorders>
            <w:top w:val="single" w:sz="12" w:space="0" w:color="auto"/>
            <w:left w:val="nil"/>
            <w:bottom w:val="nil"/>
            <w:right w:val="nil"/>
          </w:tcBorders>
          <w:hideMark/>
        </w:tcPr>
        <w:p w:rsidR="00B21FE9" w:rsidRDefault="00EC3891" w:rsidP="00B21FE9">
          <w:pPr>
            <w:pStyle w:val="Footer"/>
            <w:tabs>
              <w:tab w:val="left" w:pos="1647"/>
              <w:tab w:val="right" w:pos="4390"/>
            </w:tabs>
            <w:jc w:val="right"/>
            <w:rPr>
              <w:rFonts w:ascii="Arial" w:hAnsi="Arial" w:cs="Arial"/>
              <w:sz w:val="20"/>
            </w:rPr>
          </w:pPr>
          <w:r>
            <w:rPr>
              <w:rFonts w:ascii="Arial" w:hAnsi="Arial" w:cs="Arial"/>
              <w:sz w:val="20"/>
            </w:rPr>
            <w:t>Updated October</w:t>
          </w:r>
          <w:r w:rsidR="00B21FE9">
            <w:rPr>
              <w:rFonts w:ascii="Arial" w:hAnsi="Arial" w:cs="Arial"/>
              <w:sz w:val="20"/>
            </w:rPr>
            <w:t xml:space="preserve"> 2017</w:t>
          </w:r>
        </w:p>
      </w:tc>
    </w:tr>
    <w:tr w:rsidR="00B21FE9" w:rsidTr="002F4E3D">
      <w:tc>
        <w:tcPr>
          <w:tcW w:w="0" w:type="auto"/>
          <w:vMerge/>
          <w:tcBorders>
            <w:top w:val="single" w:sz="12" w:space="0" w:color="auto"/>
            <w:left w:val="nil"/>
            <w:bottom w:val="nil"/>
            <w:right w:val="nil"/>
          </w:tcBorders>
          <w:vAlign w:val="center"/>
          <w:hideMark/>
        </w:tcPr>
        <w:p w:rsidR="00B21FE9" w:rsidRDefault="00B21FE9" w:rsidP="00B21FE9"/>
      </w:tc>
      <w:tc>
        <w:tcPr>
          <w:tcW w:w="0" w:type="auto"/>
          <w:vMerge/>
          <w:tcBorders>
            <w:top w:val="single" w:sz="12" w:space="0" w:color="auto"/>
            <w:left w:val="nil"/>
            <w:bottom w:val="nil"/>
            <w:right w:val="nil"/>
          </w:tcBorders>
          <w:vAlign w:val="center"/>
          <w:hideMark/>
        </w:tcPr>
        <w:p w:rsidR="00B21FE9" w:rsidRDefault="00B21FE9" w:rsidP="00B21FE9">
          <w:pPr>
            <w:rPr>
              <w:rFonts w:ascii="Arial" w:hAnsi="Arial" w:cs="Arial"/>
              <w:sz w:val="20"/>
            </w:rPr>
          </w:pPr>
        </w:p>
      </w:tc>
      <w:tc>
        <w:tcPr>
          <w:tcW w:w="3089" w:type="dxa"/>
          <w:hideMark/>
        </w:tcPr>
        <w:p w:rsidR="00B21FE9" w:rsidRDefault="00B21FE9" w:rsidP="00B21FE9">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8C61C9">
            <w:rPr>
              <w:rFonts w:ascii="Arial" w:hAnsi="Arial" w:cs="Arial"/>
              <w:bCs/>
              <w:noProof/>
              <w:sz w:val="20"/>
            </w:rPr>
            <w:t>5</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8C61C9">
            <w:rPr>
              <w:rFonts w:ascii="Arial" w:hAnsi="Arial" w:cs="Arial"/>
              <w:bCs/>
              <w:noProof/>
              <w:sz w:val="20"/>
            </w:rPr>
            <w:t>6</w:t>
          </w:r>
          <w:r>
            <w:rPr>
              <w:rFonts w:ascii="Arial" w:hAnsi="Arial" w:cs="Arial"/>
              <w:bCs/>
              <w:sz w:val="20"/>
              <w:szCs w:val="24"/>
            </w:rPr>
            <w:fldChar w:fldCharType="end"/>
          </w:r>
        </w:p>
      </w:tc>
    </w:tr>
  </w:tbl>
  <w:p w:rsidR="00B21FE9" w:rsidRDefault="00B21FE9">
    <w:pPr>
      <w:pStyle w:val="Footer"/>
    </w:pPr>
  </w:p>
  <w:p w:rsidR="00B21FE9" w:rsidRDefault="00B2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91" w:rsidRDefault="00EC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DE" w:rsidRDefault="006146DE" w:rsidP="00B21FE9">
      <w:pPr>
        <w:spacing w:after="0" w:line="240" w:lineRule="auto"/>
      </w:pPr>
      <w:r>
        <w:separator/>
      </w:r>
    </w:p>
  </w:footnote>
  <w:footnote w:type="continuationSeparator" w:id="0">
    <w:p w:rsidR="006146DE" w:rsidRDefault="006146DE" w:rsidP="00B21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91" w:rsidRDefault="00EC3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91" w:rsidRDefault="00EC3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91" w:rsidRDefault="00EC3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98"/>
    <w:rsid w:val="002126D8"/>
    <w:rsid w:val="00287012"/>
    <w:rsid w:val="004C314E"/>
    <w:rsid w:val="006146DE"/>
    <w:rsid w:val="00747B98"/>
    <w:rsid w:val="00782499"/>
    <w:rsid w:val="007829DB"/>
    <w:rsid w:val="008472DD"/>
    <w:rsid w:val="00887C7D"/>
    <w:rsid w:val="008C61C9"/>
    <w:rsid w:val="00906414"/>
    <w:rsid w:val="00AB3E86"/>
    <w:rsid w:val="00B21FE9"/>
    <w:rsid w:val="00C049E6"/>
    <w:rsid w:val="00E359EC"/>
    <w:rsid w:val="00EC3891"/>
    <w:rsid w:val="00F0657F"/>
    <w:rsid w:val="00FB6A62"/>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E3A3"/>
  <w15:chartTrackingRefBased/>
  <w15:docId w15:val="{61223485-6A2E-4C5F-8A9C-C0563FB1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C7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E9"/>
  </w:style>
  <w:style w:type="paragraph" w:styleId="Footer">
    <w:name w:val="footer"/>
    <w:basedOn w:val="Normal"/>
    <w:link w:val="FooterChar"/>
    <w:uiPriority w:val="99"/>
    <w:unhideWhenUsed/>
    <w:rsid w:val="00B2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E9"/>
  </w:style>
  <w:style w:type="paragraph" w:customStyle="1" w:styleId="Default">
    <w:name w:val="Default"/>
    <w:rsid w:val="00EC3891"/>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project.org/datarequ" TargetMode="External"/><Relationship Id="rId13" Type="http://schemas.openxmlformats.org/officeDocument/2006/relationships/hyperlink" Target="http://www.itcproject.org/library/paperlist/itc_disse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thrasher@mailbox.sc.edu" TargetMode="External"/><Relationship Id="rId12" Type="http://schemas.openxmlformats.org/officeDocument/2006/relationships/hyperlink" Target="http://www.itcproject.org/library/paperlist/paper_list"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cproject.org/datarequ"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itcproject.org/datarequ"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tcproject.org/datarequ" TargetMode="External"/><Relationship Id="rId14" Type="http://schemas.openxmlformats.org/officeDocument/2006/relationships/hyperlink" Target="http://www.itcproject.org/library/paperlist/authorship~3"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4</cp:revision>
  <dcterms:created xsi:type="dcterms:W3CDTF">2017-10-16T17:10:00Z</dcterms:created>
  <dcterms:modified xsi:type="dcterms:W3CDTF">2021-08-25T19:22:00Z</dcterms:modified>
</cp:coreProperties>
</file>